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3A3FA" w14:textId="77777777" w:rsidR="000342BD" w:rsidRDefault="000342BD" w:rsidP="000342BD">
      <w:pPr>
        <w:spacing w:after="0"/>
        <w:jc w:val="right"/>
        <w:rPr>
          <w:color w:val="000000" w:themeColor="text1"/>
          <w:sz w:val="24"/>
          <w:szCs w:val="20"/>
          <w:lang w:val="ro-RO"/>
        </w:rPr>
      </w:pPr>
    </w:p>
    <w:p w14:paraId="654C84C4" w14:textId="63B88E30" w:rsidR="000342BD" w:rsidRPr="000342BD" w:rsidRDefault="000342BD" w:rsidP="000342BD">
      <w:pPr>
        <w:spacing w:after="0"/>
        <w:jc w:val="right"/>
        <w:rPr>
          <w:color w:val="000000" w:themeColor="text1"/>
          <w:sz w:val="24"/>
          <w:szCs w:val="20"/>
          <w:lang w:val="ro-RO"/>
        </w:rPr>
      </w:pPr>
      <w:r w:rsidRPr="000342BD">
        <w:rPr>
          <w:color w:val="000000" w:themeColor="text1"/>
          <w:sz w:val="24"/>
          <w:szCs w:val="20"/>
          <w:lang w:val="ro-RO"/>
        </w:rPr>
        <w:t>Anexa nr. 2</w:t>
      </w:r>
    </w:p>
    <w:p w14:paraId="438E4445" w14:textId="77777777" w:rsidR="000342BD" w:rsidRPr="000342BD" w:rsidRDefault="000342BD" w:rsidP="000342BD">
      <w:pPr>
        <w:spacing w:after="0"/>
        <w:ind w:firstLine="567"/>
        <w:jc w:val="center"/>
        <w:rPr>
          <w:b/>
          <w:color w:val="000000" w:themeColor="text1"/>
          <w:sz w:val="24"/>
          <w:szCs w:val="20"/>
          <w:lang w:val="ro-RO"/>
        </w:rPr>
      </w:pPr>
      <w:r w:rsidRPr="000342BD">
        <w:rPr>
          <w:b/>
          <w:color w:val="000000" w:themeColor="text1"/>
          <w:sz w:val="24"/>
          <w:szCs w:val="20"/>
          <w:lang w:val="ro-RO"/>
        </w:rPr>
        <w:t>Operațiuni de valorificare</w:t>
      </w:r>
    </w:p>
    <w:p w14:paraId="43DDE894"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R1 Întrebuințarea, în principal, drept combustibil sau drept altă sursă de energie. Aceasta implică instalații de incinerare destinate, în principal, tratării deșeurilor municipale solide numai în cazul în care randamentul lor energetic este egal sau mai mare decât 0,60, folosindu-se următoarea formulă:</w:t>
      </w:r>
    </w:p>
    <w:p w14:paraId="3330439E"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Eficiența energetică = (</w:t>
      </w:r>
      <w:proofErr w:type="spellStart"/>
      <w:r w:rsidRPr="000342BD">
        <w:rPr>
          <w:color w:val="000000" w:themeColor="text1"/>
          <w:sz w:val="24"/>
          <w:szCs w:val="20"/>
          <w:lang w:val="ro-RO"/>
        </w:rPr>
        <w:t>Ep</w:t>
      </w:r>
      <w:proofErr w:type="spellEnd"/>
      <w:r w:rsidRPr="000342BD">
        <w:rPr>
          <w:color w:val="000000" w:themeColor="text1"/>
          <w:sz w:val="24"/>
          <w:szCs w:val="20"/>
          <w:lang w:val="ro-RO"/>
        </w:rPr>
        <w:t xml:space="preserve"> – (</w:t>
      </w:r>
      <w:proofErr w:type="spellStart"/>
      <w:r w:rsidRPr="000342BD">
        <w:rPr>
          <w:color w:val="000000" w:themeColor="text1"/>
          <w:sz w:val="24"/>
          <w:szCs w:val="20"/>
          <w:lang w:val="ro-RO"/>
        </w:rPr>
        <w:t>Ef</w:t>
      </w:r>
      <w:proofErr w:type="spellEnd"/>
      <w:r w:rsidRPr="000342BD">
        <w:rPr>
          <w:color w:val="000000" w:themeColor="text1"/>
          <w:sz w:val="24"/>
          <w:szCs w:val="20"/>
          <w:lang w:val="ro-RO"/>
        </w:rPr>
        <w:t xml:space="preserve"> + Ei)) / (0,97 x (</w:t>
      </w:r>
      <w:proofErr w:type="spellStart"/>
      <w:r w:rsidRPr="000342BD">
        <w:rPr>
          <w:color w:val="000000" w:themeColor="text1"/>
          <w:sz w:val="24"/>
          <w:szCs w:val="20"/>
          <w:lang w:val="ro-RO"/>
        </w:rPr>
        <w:t>Ew</w:t>
      </w:r>
      <w:proofErr w:type="spellEnd"/>
      <w:r w:rsidRPr="000342BD">
        <w:rPr>
          <w:color w:val="000000" w:themeColor="text1"/>
          <w:sz w:val="24"/>
          <w:szCs w:val="20"/>
          <w:lang w:val="ro-RO"/>
        </w:rPr>
        <w:t xml:space="preserve"> + </w:t>
      </w:r>
      <w:proofErr w:type="spellStart"/>
      <w:r w:rsidRPr="000342BD">
        <w:rPr>
          <w:color w:val="000000" w:themeColor="text1"/>
          <w:sz w:val="24"/>
          <w:szCs w:val="20"/>
          <w:lang w:val="ro-RO"/>
        </w:rPr>
        <w:t>Ef</w:t>
      </w:r>
      <w:proofErr w:type="spellEnd"/>
      <w:r w:rsidRPr="000342BD">
        <w:rPr>
          <w:color w:val="000000" w:themeColor="text1"/>
          <w:sz w:val="24"/>
          <w:szCs w:val="20"/>
          <w:lang w:val="ro-RO"/>
        </w:rPr>
        <w:t>)), unde:</w:t>
      </w:r>
    </w:p>
    <w:p w14:paraId="5D9ED3AC" w14:textId="77777777" w:rsidR="000342BD" w:rsidRPr="000342BD" w:rsidRDefault="000342BD" w:rsidP="000342BD">
      <w:pPr>
        <w:spacing w:after="0"/>
        <w:ind w:firstLine="567"/>
        <w:jc w:val="both"/>
        <w:rPr>
          <w:color w:val="000000" w:themeColor="text1"/>
          <w:sz w:val="24"/>
          <w:szCs w:val="20"/>
          <w:lang w:val="ro-RO"/>
        </w:rPr>
      </w:pPr>
      <w:proofErr w:type="spellStart"/>
      <w:r w:rsidRPr="000342BD">
        <w:rPr>
          <w:color w:val="000000" w:themeColor="text1"/>
          <w:sz w:val="24"/>
          <w:szCs w:val="20"/>
          <w:lang w:val="ro-RO"/>
        </w:rPr>
        <w:t>Ep</w:t>
      </w:r>
      <w:proofErr w:type="spellEnd"/>
      <w:r w:rsidRPr="000342BD">
        <w:rPr>
          <w:color w:val="000000" w:themeColor="text1"/>
          <w:sz w:val="24"/>
          <w:szCs w:val="20"/>
          <w:lang w:val="ro-RO"/>
        </w:rPr>
        <w:t xml:space="preserve"> reprezintă producția anuală de energie sub formă de căldură sau electricitate. Aceasta este calculată înmulțind energia produsă sub formă de electricitate cu 2,6 și energia produsă sub formă de căldură pentru utilizare comercială (GJ/an) cu 1,1;</w:t>
      </w:r>
    </w:p>
    <w:p w14:paraId="312B4E11" w14:textId="77777777" w:rsidR="000342BD" w:rsidRPr="000342BD" w:rsidRDefault="000342BD" w:rsidP="000342BD">
      <w:pPr>
        <w:spacing w:after="0"/>
        <w:ind w:firstLine="567"/>
        <w:jc w:val="both"/>
        <w:rPr>
          <w:color w:val="000000" w:themeColor="text1"/>
          <w:sz w:val="24"/>
          <w:szCs w:val="20"/>
          <w:lang w:val="ro-RO"/>
        </w:rPr>
      </w:pPr>
      <w:proofErr w:type="spellStart"/>
      <w:r w:rsidRPr="000342BD">
        <w:rPr>
          <w:color w:val="000000" w:themeColor="text1"/>
          <w:sz w:val="24"/>
          <w:szCs w:val="20"/>
          <w:lang w:val="ro-RO"/>
        </w:rPr>
        <w:t>Ef</w:t>
      </w:r>
      <w:proofErr w:type="spellEnd"/>
      <w:r w:rsidRPr="000342BD">
        <w:rPr>
          <w:color w:val="000000" w:themeColor="text1"/>
          <w:sz w:val="24"/>
          <w:szCs w:val="20"/>
          <w:lang w:val="ro-RO"/>
        </w:rPr>
        <w:t xml:space="preserve"> reprezintă consumul anual de energie al sistemului, provenită din combustibili, care contribuie la producția de aburi (GJ/an);</w:t>
      </w:r>
    </w:p>
    <w:p w14:paraId="655EC12F" w14:textId="77777777" w:rsidR="000342BD" w:rsidRPr="000342BD" w:rsidRDefault="000342BD" w:rsidP="000342BD">
      <w:pPr>
        <w:spacing w:after="0"/>
        <w:ind w:firstLine="567"/>
        <w:jc w:val="both"/>
        <w:rPr>
          <w:color w:val="000000" w:themeColor="text1"/>
          <w:sz w:val="24"/>
          <w:szCs w:val="20"/>
          <w:lang w:val="ro-RO"/>
        </w:rPr>
      </w:pPr>
      <w:proofErr w:type="spellStart"/>
      <w:r w:rsidRPr="000342BD">
        <w:rPr>
          <w:color w:val="000000" w:themeColor="text1"/>
          <w:sz w:val="24"/>
          <w:szCs w:val="20"/>
          <w:lang w:val="ro-RO"/>
        </w:rPr>
        <w:t>Ew</w:t>
      </w:r>
      <w:proofErr w:type="spellEnd"/>
      <w:r w:rsidRPr="000342BD">
        <w:rPr>
          <w:color w:val="000000" w:themeColor="text1"/>
          <w:sz w:val="24"/>
          <w:szCs w:val="20"/>
          <w:lang w:val="ro-RO"/>
        </w:rPr>
        <w:t xml:space="preserve"> reprezintă energia anuală conținută de deșeurile tratate, calculată pe baza valorii calorice nete inferioare a deșeurilor (GJ/an);</w:t>
      </w:r>
    </w:p>
    <w:p w14:paraId="7F260E33"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Ei reprezintă energia anuală importată, exclusiv </w:t>
      </w:r>
      <w:proofErr w:type="spellStart"/>
      <w:r w:rsidRPr="000342BD">
        <w:rPr>
          <w:color w:val="000000" w:themeColor="text1"/>
          <w:sz w:val="24"/>
          <w:szCs w:val="20"/>
          <w:lang w:val="ro-RO"/>
        </w:rPr>
        <w:t>Ew</w:t>
      </w:r>
      <w:proofErr w:type="spellEnd"/>
      <w:r w:rsidRPr="000342BD">
        <w:rPr>
          <w:color w:val="000000" w:themeColor="text1"/>
          <w:sz w:val="24"/>
          <w:szCs w:val="20"/>
          <w:lang w:val="ro-RO"/>
        </w:rPr>
        <w:t xml:space="preserve"> și </w:t>
      </w:r>
      <w:proofErr w:type="spellStart"/>
      <w:r w:rsidRPr="000342BD">
        <w:rPr>
          <w:color w:val="000000" w:themeColor="text1"/>
          <w:sz w:val="24"/>
          <w:szCs w:val="20"/>
          <w:lang w:val="ro-RO"/>
        </w:rPr>
        <w:t>Ef</w:t>
      </w:r>
      <w:proofErr w:type="spellEnd"/>
      <w:r w:rsidRPr="000342BD">
        <w:rPr>
          <w:color w:val="000000" w:themeColor="text1"/>
          <w:sz w:val="24"/>
          <w:szCs w:val="20"/>
          <w:lang w:val="ro-RO"/>
        </w:rPr>
        <w:t xml:space="preserve"> (GJ/an);</w:t>
      </w:r>
    </w:p>
    <w:p w14:paraId="71FBAA78"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0,97 este un coeficient care reprezintă pierderile de energie datorate reziduurilor generate în urma incinerării și radierii.</w:t>
      </w:r>
    </w:p>
    <w:p w14:paraId="5EC7A5D1"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Această formulă se aplică în conformitate cu documentul de referință privind cele mai bune tehnici disponibile pentru incinerarea deșeurilor.</w:t>
      </w:r>
    </w:p>
    <w:p w14:paraId="2C31363E"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Formula eficienței energetice este înmulțită cu un factor de corecție climaterică (</w:t>
      </w:r>
      <w:r w:rsidRPr="000342BD">
        <w:rPr>
          <w:i/>
          <w:iCs/>
          <w:color w:val="000000" w:themeColor="text1"/>
          <w:sz w:val="24"/>
          <w:szCs w:val="20"/>
          <w:lang w:val="ro-RO"/>
        </w:rPr>
        <w:t>FCC</w:t>
      </w:r>
      <w:r w:rsidRPr="000342BD">
        <w:rPr>
          <w:color w:val="000000" w:themeColor="text1"/>
          <w:sz w:val="24"/>
          <w:szCs w:val="20"/>
          <w:lang w:val="ro-RO"/>
        </w:rPr>
        <w:t>) după cum se indică mai jos:</w:t>
      </w:r>
    </w:p>
    <w:p w14:paraId="76FAB0E7"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1. </w:t>
      </w:r>
      <w:r w:rsidRPr="000342BD">
        <w:rPr>
          <w:i/>
          <w:iCs/>
          <w:color w:val="000000" w:themeColor="text1"/>
          <w:sz w:val="24"/>
          <w:szCs w:val="20"/>
          <w:lang w:val="ro-RO"/>
        </w:rPr>
        <w:t>FCC</w:t>
      </w:r>
      <w:r w:rsidRPr="000342BD">
        <w:rPr>
          <w:color w:val="000000" w:themeColor="text1"/>
          <w:sz w:val="24"/>
          <w:szCs w:val="20"/>
          <w:lang w:val="ro-RO"/>
        </w:rPr>
        <w:t> pentru instalațiile care funcționează și sunt autorizate în conformitate cu legislația Uniunii Europene aplicabilă înainte de 1 septembrie 2015:</w:t>
      </w:r>
    </w:p>
    <w:p w14:paraId="0A617998"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 = 1</w:t>
      </w:r>
      <w:r w:rsidRPr="000342BD">
        <w:rPr>
          <w:color w:val="000000" w:themeColor="text1"/>
          <w:sz w:val="24"/>
          <w:szCs w:val="20"/>
          <w:lang w:val="ro-RO"/>
        </w:rPr>
        <w:t> dacă </w:t>
      </w:r>
      <w:r w:rsidRPr="000342BD">
        <w:rPr>
          <w:i/>
          <w:iCs/>
          <w:color w:val="000000" w:themeColor="text1"/>
          <w:sz w:val="24"/>
          <w:szCs w:val="20"/>
          <w:lang w:val="ro-RO"/>
        </w:rPr>
        <w:t>HDD &gt;= 3350</w:t>
      </w:r>
      <w:r w:rsidRPr="000342BD">
        <w:rPr>
          <w:color w:val="000000" w:themeColor="text1"/>
          <w:sz w:val="24"/>
          <w:szCs w:val="20"/>
          <w:lang w:val="ro-RO"/>
        </w:rPr>
        <w:t>;</w:t>
      </w:r>
    </w:p>
    <w:p w14:paraId="58827071"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 = 1</w:t>
      </w:r>
      <w:r w:rsidRPr="000342BD">
        <w:rPr>
          <w:color w:val="000000" w:themeColor="text1"/>
          <w:sz w:val="24"/>
          <w:szCs w:val="20"/>
          <w:lang w:val="ro-RO"/>
        </w:rPr>
        <w:t>,</w:t>
      </w:r>
      <w:r w:rsidRPr="000342BD">
        <w:rPr>
          <w:i/>
          <w:iCs/>
          <w:color w:val="000000" w:themeColor="text1"/>
          <w:sz w:val="24"/>
          <w:szCs w:val="20"/>
          <w:lang w:val="ro-RO"/>
        </w:rPr>
        <w:t>25</w:t>
      </w:r>
      <w:r w:rsidRPr="000342BD">
        <w:rPr>
          <w:color w:val="000000" w:themeColor="text1"/>
          <w:sz w:val="24"/>
          <w:szCs w:val="20"/>
          <w:lang w:val="ro-RO"/>
        </w:rPr>
        <w:t> dacă </w:t>
      </w:r>
      <w:r w:rsidRPr="000342BD">
        <w:rPr>
          <w:i/>
          <w:iCs/>
          <w:color w:val="000000" w:themeColor="text1"/>
          <w:sz w:val="24"/>
          <w:szCs w:val="20"/>
          <w:lang w:val="ro-RO"/>
        </w:rPr>
        <w:t>HDD</w:t>
      </w:r>
      <w:r w:rsidRPr="000342BD">
        <w:rPr>
          <w:color w:val="000000" w:themeColor="text1"/>
          <w:sz w:val="24"/>
          <w:szCs w:val="20"/>
          <w:lang w:val="ro-RO"/>
        </w:rPr>
        <w:t> </w:t>
      </w:r>
      <w:r w:rsidRPr="000342BD">
        <w:rPr>
          <w:i/>
          <w:iCs/>
          <w:color w:val="000000" w:themeColor="text1"/>
          <w:sz w:val="24"/>
          <w:szCs w:val="20"/>
          <w:lang w:val="ro-RO"/>
        </w:rPr>
        <w:t>&lt;= 2150</w:t>
      </w:r>
      <w:r w:rsidRPr="000342BD">
        <w:rPr>
          <w:color w:val="000000" w:themeColor="text1"/>
          <w:sz w:val="24"/>
          <w:szCs w:val="20"/>
          <w:lang w:val="ro-RO"/>
        </w:rPr>
        <w:t>;</w:t>
      </w:r>
    </w:p>
    <w:p w14:paraId="1F20900C"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w:t>
      </w:r>
      <w:r w:rsidRPr="000342BD">
        <w:rPr>
          <w:color w:val="000000" w:themeColor="text1"/>
          <w:sz w:val="24"/>
          <w:szCs w:val="20"/>
          <w:lang w:val="ro-RO"/>
        </w:rPr>
        <w:t> = </w:t>
      </w:r>
      <w:r w:rsidRPr="000342BD">
        <w:rPr>
          <w:i/>
          <w:iCs/>
          <w:color w:val="000000" w:themeColor="text1"/>
          <w:sz w:val="24"/>
          <w:szCs w:val="20"/>
          <w:lang w:val="ro-RO"/>
        </w:rPr>
        <w:t>– (0,25/1200) × HDD + 1,698 </w:t>
      </w:r>
      <w:r w:rsidRPr="000342BD">
        <w:rPr>
          <w:color w:val="000000" w:themeColor="text1"/>
          <w:sz w:val="24"/>
          <w:szCs w:val="20"/>
          <w:lang w:val="ro-RO"/>
        </w:rPr>
        <w:t>dacă</w:t>
      </w:r>
      <w:r w:rsidRPr="000342BD">
        <w:rPr>
          <w:i/>
          <w:iCs/>
          <w:color w:val="000000" w:themeColor="text1"/>
          <w:sz w:val="24"/>
          <w:szCs w:val="20"/>
          <w:lang w:val="ro-RO"/>
        </w:rPr>
        <w:t> 2150 &lt; HDD &lt; 3350</w:t>
      </w:r>
      <w:r w:rsidRPr="000342BD">
        <w:rPr>
          <w:color w:val="000000" w:themeColor="text1"/>
          <w:sz w:val="24"/>
          <w:szCs w:val="20"/>
          <w:lang w:val="ro-RO"/>
        </w:rPr>
        <w:t>.</w:t>
      </w:r>
    </w:p>
    <w:p w14:paraId="3F42CC8A"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2. </w:t>
      </w:r>
      <w:r w:rsidRPr="000342BD">
        <w:rPr>
          <w:i/>
          <w:iCs/>
          <w:color w:val="000000" w:themeColor="text1"/>
          <w:sz w:val="24"/>
          <w:szCs w:val="20"/>
          <w:lang w:val="ro-RO"/>
        </w:rPr>
        <w:t>FCC</w:t>
      </w:r>
      <w:r w:rsidRPr="000342BD">
        <w:rPr>
          <w:color w:val="000000" w:themeColor="text1"/>
          <w:sz w:val="24"/>
          <w:szCs w:val="20"/>
          <w:lang w:val="ro-RO"/>
        </w:rPr>
        <w:t> pentru instalațiile autorizate după 31 august 2015 și pentru instalațiile de la pct. 1 după 31 decembrie 2029:</w:t>
      </w:r>
    </w:p>
    <w:p w14:paraId="00AD9C1C"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 = 1</w:t>
      </w:r>
      <w:r w:rsidRPr="000342BD">
        <w:rPr>
          <w:color w:val="000000" w:themeColor="text1"/>
          <w:sz w:val="24"/>
          <w:szCs w:val="20"/>
          <w:lang w:val="ro-RO"/>
        </w:rPr>
        <w:t> dacă </w:t>
      </w:r>
      <w:r w:rsidRPr="000342BD">
        <w:rPr>
          <w:i/>
          <w:iCs/>
          <w:color w:val="000000" w:themeColor="text1"/>
          <w:sz w:val="24"/>
          <w:szCs w:val="20"/>
          <w:lang w:val="ro-RO"/>
        </w:rPr>
        <w:t>HDD &gt;= 3350</w:t>
      </w:r>
      <w:r w:rsidRPr="000342BD">
        <w:rPr>
          <w:color w:val="000000" w:themeColor="text1"/>
          <w:sz w:val="24"/>
          <w:szCs w:val="20"/>
          <w:lang w:val="ro-RO"/>
        </w:rPr>
        <w:t>;</w:t>
      </w:r>
    </w:p>
    <w:p w14:paraId="1F4A86B6"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w:t>
      </w:r>
      <w:r w:rsidRPr="000342BD">
        <w:rPr>
          <w:color w:val="000000" w:themeColor="text1"/>
          <w:sz w:val="24"/>
          <w:szCs w:val="20"/>
          <w:lang w:val="ro-RO"/>
        </w:rPr>
        <w:t> = </w:t>
      </w:r>
      <w:r w:rsidRPr="000342BD">
        <w:rPr>
          <w:i/>
          <w:iCs/>
          <w:color w:val="000000" w:themeColor="text1"/>
          <w:sz w:val="24"/>
          <w:szCs w:val="20"/>
          <w:lang w:val="ro-RO"/>
        </w:rPr>
        <w:t>1,12</w:t>
      </w:r>
      <w:r w:rsidRPr="000342BD">
        <w:rPr>
          <w:color w:val="000000" w:themeColor="text1"/>
          <w:sz w:val="24"/>
          <w:szCs w:val="20"/>
          <w:lang w:val="ro-RO"/>
        </w:rPr>
        <w:t> dacă </w:t>
      </w:r>
      <w:r w:rsidRPr="000342BD">
        <w:rPr>
          <w:i/>
          <w:iCs/>
          <w:color w:val="000000" w:themeColor="text1"/>
          <w:sz w:val="24"/>
          <w:szCs w:val="20"/>
          <w:lang w:val="ro-RO"/>
        </w:rPr>
        <w:t>HDD &lt;= 2150</w:t>
      </w:r>
      <w:r w:rsidRPr="000342BD">
        <w:rPr>
          <w:color w:val="000000" w:themeColor="text1"/>
          <w:sz w:val="24"/>
          <w:szCs w:val="20"/>
          <w:lang w:val="ro-RO"/>
        </w:rPr>
        <w:t>;</w:t>
      </w:r>
    </w:p>
    <w:p w14:paraId="091EB1DD" w14:textId="77777777" w:rsidR="000342BD" w:rsidRPr="000342BD" w:rsidRDefault="000342BD" w:rsidP="000342BD">
      <w:pPr>
        <w:spacing w:after="0"/>
        <w:ind w:firstLine="567"/>
        <w:jc w:val="both"/>
        <w:rPr>
          <w:color w:val="000000" w:themeColor="text1"/>
          <w:sz w:val="24"/>
          <w:szCs w:val="20"/>
          <w:lang w:val="ro-RO"/>
        </w:rPr>
      </w:pPr>
      <w:r w:rsidRPr="000342BD">
        <w:rPr>
          <w:i/>
          <w:iCs/>
          <w:color w:val="000000" w:themeColor="text1"/>
          <w:sz w:val="24"/>
          <w:szCs w:val="20"/>
          <w:lang w:val="ro-RO"/>
        </w:rPr>
        <w:t>FCC = – (0,12/1200) × HDD + 1,335</w:t>
      </w:r>
      <w:r w:rsidRPr="000342BD">
        <w:rPr>
          <w:color w:val="000000" w:themeColor="text1"/>
          <w:sz w:val="24"/>
          <w:szCs w:val="20"/>
          <w:lang w:val="ro-RO"/>
        </w:rPr>
        <w:t> dacă </w:t>
      </w:r>
      <w:r w:rsidRPr="000342BD">
        <w:rPr>
          <w:i/>
          <w:iCs/>
          <w:color w:val="000000" w:themeColor="text1"/>
          <w:sz w:val="24"/>
          <w:szCs w:val="20"/>
          <w:lang w:val="ro-RO"/>
        </w:rPr>
        <w:t>2150 &lt; HDD &lt; 3350</w:t>
      </w:r>
      <w:r w:rsidRPr="000342BD">
        <w:rPr>
          <w:color w:val="000000" w:themeColor="text1"/>
          <w:sz w:val="24"/>
          <w:szCs w:val="20"/>
          <w:lang w:val="ro-RO"/>
        </w:rPr>
        <w:t>.</w:t>
      </w:r>
    </w:p>
    <w:p w14:paraId="799A1DAC"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(Valoarea rezultată a </w:t>
      </w:r>
      <w:r w:rsidRPr="000342BD">
        <w:rPr>
          <w:i/>
          <w:iCs/>
          <w:color w:val="000000" w:themeColor="text1"/>
          <w:sz w:val="24"/>
          <w:szCs w:val="20"/>
          <w:lang w:val="ro-RO"/>
        </w:rPr>
        <w:t>FCC</w:t>
      </w:r>
      <w:r w:rsidRPr="000342BD">
        <w:rPr>
          <w:color w:val="000000" w:themeColor="text1"/>
          <w:sz w:val="24"/>
          <w:szCs w:val="20"/>
          <w:lang w:val="ro-RO"/>
        </w:rPr>
        <w:t> va fi rotunjită la trei zecimale.)</w:t>
      </w:r>
    </w:p>
    <w:p w14:paraId="28714264"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Valoarea </w:t>
      </w:r>
      <w:r w:rsidRPr="000342BD">
        <w:rPr>
          <w:i/>
          <w:iCs/>
          <w:color w:val="000000" w:themeColor="text1"/>
          <w:sz w:val="24"/>
          <w:szCs w:val="20"/>
          <w:lang w:val="ro-RO"/>
        </w:rPr>
        <w:t>HDD</w:t>
      </w:r>
      <w:r w:rsidRPr="000342BD">
        <w:rPr>
          <w:color w:val="000000" w:themeColor="text1"/>
          <w:sz w:val="24"/>
          <w:szCs w:val="20"/>
          <w:lang w:val="ro-RO"/>
        </w:rPr>
        <w:t> (</w:t>
      </w:r>
      <w:proofErr w:type="spellStart"/>
      <w:r w:rsidRPr="000342BD">
        <w:rPr>
          <w:i/>
          <w:iCs/>
          <w:color w:val="000000" w:themeColor="text1"/>
          <w:sz w:val="24"/>
          <w:szCs w:val="20"/>
          <w:lang w:val="ro-RO"/>
        </w:rPr>
        <w:t>Heating</w:t>
      </w:r>
      <w:proofErr w:type="spellEnd"/>
      <w:r w:rsidRPr="000342BD">
        <w:rPr>
          <w:i/>
          <w:iCs/>
          <w:color w:val="000000" w:themeColor="text1"/>
          <w:sz w:val="24"/>
          <w:szCs w:val="20"/>
          <w:lang w:val="ro-RO"/>
        </w:rPr>
        <w:t xml:space="preserve"> </w:t>
      </w:r>
      <w:proofErr w:type="spellStart"/>
      <w:r w:rsidRPr="000342BD">
        <w:rPr>
          <w:i/>
          <w:iCs/>
          <w:color w:val="000000" w:themeColor="text1"/>
          <w:sz w:val="24"/>
          <w:szCs w:val="20"/>
          <w:lang w:val="ro-RO"/>
        </w:rPr>
        <w:t>Degree</w:t>
      </w:r>
      <w:proofErr w:type="spellEnd"/>
      <w:r w:rsidRPr="000342BD">
        <w:rPr>
          <w:i/>
          <w:iCs/>
          <w:color w:val="000000" w:themeColor="text1"/>
          <w:sz w:val="24"/>
          <w:szCs w:val="20"/>
          <w:lang w:val="ro-RO"/>
        </w:rPr>
        <w:t xml:space="preserve"> </w:t>
      </w:r>
      <w:proofErr w:type="spellStart"/>
      <w:r w:rsidRPr="000342BD">
        <w:rPr>
          <w:i/>
          <w:iCs/>
          <w:color w:val="000000" w:themeColor="text1"/>
          <w:sz w:val="24"/>
          <w:szCs w:val="20"/>
          <w:lang w:val="ro-RO"/>
        </w:rPr>
        <w:t>Days</w:t>
      </w:r>
      <w:proofErr w:type="spellEnd"/>
      <w:r w:rsidRPr="000342BD">
        <w:rPr>
          <w:color w:val="000000" w:themeColor="text1"/>
          <w:sz w:val="24"/>
          <w:szCs w:val="20"/>
          <w:lang w:val="ro-RO"/>
        </w:rPr>
        <w:t> – grade zile pentru încălzire) ar trebui să fie considerată ca fiind egală cu media valorilor </w:t>
      </w:r>
      <w:r w:rsidRPr="000342BD">
        <w:rPr>
          <w:i/>
          <w:iCs/>
          <w:color w:val="000000" w:themeColor="text1"/>
          <w:sz w:val="24"/>
          <w:szCs w:val="20"/>
          <w:lang w:val="ro-RO"/>
        </w:rPr>
        <w:t>HDD</w:t>
      </w:r>
      <w:r w:rsidRPr="000342BD">
        <w:rPr>
          <w:color w:val="000000" w:themeColor="text1"/>
          <w:sz w:val="24"/>
          <w:szCs w:val="20"/>
          <w:lang w:val="ro-RO"/>
        </w:rPr>
        <w:t> pentru locul unde este situată instalația de incinerare, calculată pentru o perioadă de 20 de ani consecutivi anteriori anului pentru care se calculează </w:t>
      </w:r>
      <w:r w:rsidRPr="000342BD">
        <w:rPr>
          <w:i/>
          <w:iCs/>
          <w:color w:val="000000" w:themeColor="text1"/>
          <w:sz w:val="24"/>
          <w:szCs w:val="20"/>
          <w:lang w:val="ro-RO"/>
        </w:rPr>
        <w:t>FCC</w:t>
      </w:r>
      <w:r w:rsidRPr="000342BD">
        <w:rPr>
          <w:color w:val="000000" w:themeColor="text1"/>
          <w:sz w:val="24"/>
          <w:szCs w:val="20"/>
          <w:lang w:val="ro-RO"/>
        </w:rPr>
        <w:t>. Pentru calcularea valorii </w:t>
      </w:r>
      <w:r w:rsidRPr="000342BD">
        <w:rPr>
          <w:i/>
          <w:iCs/>
          <w:color w:val="000000" w:themeColor="text1"/>
          <w:sz w:val="24"/>
          <w:szCs w:val="20"/>
          <w:lang w:val="ro-RO"/>
        </w:rPr>
        <w:t>HDD</w:t>
      </w:r>
      <w:r w:rsidRPr="000342BD">
        <w:rPr>
          <w:color w:val="000000" w:themeColor="text1"/>
          <w:sz w:val="24"/>
          <w:szCs w:val="20"/>
          <w:lang w:val="ro-RO"/>
        </w:rPr>
        <w:t xml:space="preserve"> ar trebui aplicată următoarea metodă stabilită de </w:t>
      </w:r>
      <w:proofErr w:type="spellStart"/>
      <w:r w:rsidRPr="000342BD">
        <w:rPr>
          <w:color w:val="000000" w:themeColor="text1"/>
          <w:sz w:val="24"/>
          <w:szCs w:val="20"/>
          <w:lang w:val="ro-RO"/>
        </w:rPr>
        <w:t>Eurostat</w:t>
      </w:r>
      <w:proofErr w:type="spellEnd"/>
      <w:r w:rsidRPr="000342BD">
        <w:rPr>
          <w:color w:val="000000" w:themeColor="text1"/>
          <w:sz w:val="24"/>
          <w:szCs w:val="20"/>
          <w:lang w:val="ro-RO"/>
        </w:rPr>
        <w:t>: valoarea </w:t>
      </w:r>
      <w:r w:rsidRPr="000342BD">
        <w:rPr>
          <w:i/>
          <w:iCs/>
          <w:color w:val="000000" w:themeColor="text1"/>
          <w:sz w:val="24"/>
          <w:szCs w:val="20"/>
          <w:lang w:val="ro-RO"/>
        </w:rPr>
        <w:t>HDD</w:t>
      </w:r>
      <w:r w:rsidRPr="000342BD">
        <w:rPr>
          <w:color w:val="000000" w:themeColor="text1"/>
          <w:sz w:val="24"/>
          <w:szCs w:val="20"/>
          <w:lang w:val="ro-RO"/>
        </w:rPr>
        <w:t> este egală cu </w:t>
      </w:r>
      <w:r w:rsidRPr="000342BD">
        <w:rPr>
          <w:i/>
          <w:iCs/>
          <w:color w:val="000000" w:themeColor="text1"/>
          <w:sz w:val="24"/>
          <w:szCs w:val="20"/>
          <w:lang w:val="ro-RO"/>
        </w:rPr>
        <w:t>(18°C – Tm) × d</w:t>
      </w:r>
      <w:r w:rsidRPr="000342BD">
        <w:rPr>
          <w:color w:val="000000" w:themeColor="text1"/>
          <w:sz w:val="24"/>
          <w:szCs w:val="20"/>
          <w:lang w:val="ro-RO"/>
        </w:rPr>
        <w:t>, dacă </w:t>
      </w:r>
      <w:r w:rsidRPr="000342BD">
        <w:rPr>
          <w:i/>
          <w:iCs/>
          <w:color w:val="000000" w:themeColor="text1"/>
          <w:sz w:val="24"/>
          <w:szCs w:val="20"/>
          <w:lang w:val="ro-RO"/>
        </w:rPr>
        <w:t>Tm</w:t>
      </w:r>
      <w:r w:rsidRPr="000342BD">
        <w:rPr>
          <w:color w:val="000000" w:themeColor="text1"/>
          <w:sz w:val="24"/>
          <w:szCs w:val="20"/>
          <w:lang w:val="ro-RO"/>
        </w:rPr>
        <w:t> este mai mic de sau egal cu 15°C (pragul de încălzire), și egală cu 0, dacă </w:t>
      </w:r>
      <w:r w:rsidRPr="000342BD">
        <w:rPr>
          <w:i/>
          <w:iCs/>
          <w:color w:val="000000" w:themeColor="text1"/>
          <w:sz w:val="24"/>
          <w:szCs w:val="20"/>
          <w:lang w:val="ro-RO"/>
        </w:rPr>
        <w:t>Tm</w:t>
      </w:r>
      <w:r w:rsidRPr="000342BD">
        <w:rPr>
          <w:color w:val="000000" w:themeColor="text1"/>
          <w:sz w:val="24"/>
          <w:szCs w:val="20"/>
          <w:lang w:val="ro-RO"/>
        </w:rPr>
        <w:t> este mai mare de 15°C; </w:t>
      </w:r>
      <w:r w:rsidRPr="000342BD">
        <w:rPr>
          <w:i/>
          <w:iCs/>
          <w:color w:val="000000" w:themeColor="text1"/>
          <w:sz w:val="24"/>
          <w:szCs w:val="20"/>
          <w:lang w:val="ro-RO"/>
        </w:rPr>
        <w:t>Tm</w:t>
      </w:r>
      <w:r w:rsidRPr="000342BD">
        <w:rPr>
          <w:color w:val="000000" w:themeColor="text1"/>
          <w:sz w:val="24"/>
          <w:szCs w:val="20"/>
          <w:lang w:val="ro-RO"/>
        </w:rPr>
        <w:t> reprezintă media temperaturii exterioare </w:t>
      </w:r>
      <w:r w:rsidRPr="000342BD">
        <w:rPr>
          <w:i/>
          <w:iCs/>
          <w:color w:val="000000" w:themeColor="text1"/>
          <w:sz w:val="24"/>
          <w:szCs w:val="20"/>
          <w:lang w:val="ro-RO"/>
        </w:rPr>
        <w:t>(</w:t>
      </w:r>
      <w:proofErr w:type="spellStart"/>
      <w:r w:rsidRPr="000342BD">
        <w:rPr>
          <w:i/>
          <w:iCs/>
          <w:color w:val="000000" w:themeColor="text1"/>
          <w:sz w:val="24"/>
          <w:szCs w:val="20"/>
          <w:lang w:val="ro-RO"/>
        </w:rPr>
        <w:t>Tmin</w:t>
      </w:r>
      <w:proofErr w:type="spellEnd"/>
      <w:r w:rsidRPr="000342BD">
        <w:rPr>
          <w:i/>
          <w:iCs/>
          <w:color w:val="000000" w:themeColor="text1"/>
          <w:sz w:val="24"/>
          <w:szCs w:val="20"/>
          <w:lang w:val="ro-RO"/>
        </w:rPr>
        <w:t xml:space="preserve"> + </w:t>
      </w:r>
      <w:proofErr w:type="spellStart"/>
      <w:r w:rsidRPr="000342BD">
        <w:rPr>
          <w:i/>
          <w:iCs/>
          <w:color w:val="000000" w:themeColor="text1"/>
          <w:sz w:val="24"/>
          <w:szCs w:val="20"/>
          <w:lang w:val="ro-RO"/>
        </w:rPr>
        <w:t>Tmax</w:t>
      </w:r>
      <w:proofErr w:type="spellEnd"/>
      <w:r w:rsidRPr="000342BD">
        <w:rPr>
          <w:i/>
          <w:iCs/>
          <w:color w:val="000000" w:themeColor="text1"/>
          <w:sz w:val="24"/>
          <w:szCs w:val="20"/>
          <w:lang w:val="ro-RO"/>
        </w:rPr>
        <w:t>/2)</w:t>
      </w:r>
      <w:r w:rsidRPr="000342BD">
        <w:rPr>
          <w:color w:val="000000" w:themeColor="text1"/>
          <w:sz w:val="24"/>
          <w:szCs w:val="20"/>
          <w:lang w:val="ro-RO"/>
        </w:rPr>
        <w:t> dintr-o perioadă de </w:t>
      </w:r>
      <w:r w:rsidRPr="000342BD">
        <w:rPr>
          <w:i/>
          <w:iCs/>
          <w:color w:val="000000" w:themeColor="text1"/>
          <w:sz w:val="24"/>
          <w:szCs w:val="20"/>
          <w:lang w:val="ro-RO"/>
        </w:rPr>
        <w:t>d</w:t>
      </w:r>
      <w:r w:rsidRPr="000342BD">
        <w:rPr>
          <w:color w:val="000000" w:themeColor="text1"/>
          <w:sz w:val="24"/>
          <w:szCs w:val="20"/>
          <w:lang w:val="ro-RO"/>
        </w:rPr>
        <w:t> zile. Calculele trebuie efectuate zilnic </w:t>
      </w:r>
      <w:r w:rsidRPr="000342BD">
        <w:rPr>
          <w:i/>
          <w:iCs/>
          <w:color w:val="000000" w:themeColor="text1"/>
          <w:sz w:val="24"/>
          <w:szCs w:val="20"/>
          <w:lang w:val="ro-RO"/>
        </w:rPr>
        <w:t>(d = 1)</w:t>
      </w:r>
      <w:r w:rsidRPr="000342BD">
        <w:rPr>
          <w:color w:val="000000" w:themeColor="text1"/>
          <w:sz w:val="24"/>
          <w:szCs w:val="20"/>
          <w:lang w:val="ro-RO"/>
        </w:rPr>
        <w:t> și adunate pentru un an.</w:t>
      </w:r>
    </w:p>
    <w:p w14:paraId="1C0CAB9B"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R2 Recuperarea/regenerarea solvenților.</w:t>
      </w:r>
    </w:p>
    <w:p w14:paraId="2D201268"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R3 Reciclarea/recuperarea substanțelor organice care nu sunt utilizate ca </w:t>
      </w:r>
      <w:proofErr w:type="spellStart"/>
      <w:r w:rsidRPr="000342BD">
        <w:rPr>
          <w:color w:val="000000" w:themeColor="text1"/>
          <w:sz w:val="24"/>
          <w:szCs w:val="20"/>
          <w:lang w:val="ro-RO"/>
        </w:rPr>
        <w:t>solvenţi</w:t>
      </w:r>
      <w:proofErr w:type="spellEnd"/>
      <w:r w:rsidRPr="000342BD">
        <w:rPr>
          <w:color w:val="000000" w:themeColor="text1"/>
          <w:sz w:val="24"/>
          <w:szCs w:val="20"/>
          <w:lang w:val="ro-RO"/>
        </w:rPr>
        <w:t xml:space="preserve"> (inclusiv compostarea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alte procese de transformare biologică). Aceasta include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gazificarea,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piroliza, care folosesc componentele ca produse chimice.</w:t>
      </w:r>
    </w:p>
    <w:p w14:paraId="426EE2FE"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R4 Reciclarea/recuperarea metalelor și </w:t>
      </w:r>
      <w:proofErr w:type="spellStart"/>
      <w:r w:rsidRPr="000342BD">
        <w:rPr>
          <w:color w:val="000000" w:themeColor="text1"/>
          <w:sz w:val="24"/>
          <w:szCs w:val="20"/>
          <w:lang w:val="ro-RO"/>
        </w:rPr>
        <w:t>compuşilor</w:t>
      </w:r>
      <w:proofErr w:type="spellEnd"/>
      <w:r w:rsidRPr="000342BD">
        <w:rPr>
          <w:color w:val="000000" w:themeColor="text1"/>
          <w:sz w:val="24"/>
          <w:szCs w:val="20"/>
          <w:lang w:val="ro-RO"/>
        </w:rPr>
        <w:t xml:space="preserve"> metalici.</w:t>
      </w:r>
    </w:p>
    <w:p w14:paraId="3307017E"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R5 Reciclarea/recuperarea altor materiale anorganice. Aceasta include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tehnologiile de </w:t>
      </w:r>
      <w:proofErr w:type="spellStart"/>
      <w:r w:rsidRPr="000342BD">
        <w:rPr>
          <w:color w:val="000000" w:themeColor="text1"/>
          <w:sz w:val="24"/>
          <w:szCs w:val="20"/>
          <w:lang w:val="ro-RO"/>
        </w:rPr>
        <w:t>curăţare</w:t>
      </w:r>
      <w:proofErr w:type="spellEnd"/>
      <w:r w:rsidRPr="000342BD">
        <w:rPr>
          <w:color w:val="000000" w:themeColor="text1"/>
          <w:sz w:val="24"/>
          <w:szCs w:val="20"/>
          <w:lang w:val="ro-RO"/>
        </w:rPr>
        <w:t xml:space="preserve"> a solului care au ca rezultat </w:t>
      </w:r>
      <w:proofErr w:type="spellStart"/>
      <w:r w:rsidRPr="000342BD">
        <w:rPr>
          <w:color w:val="000000" w:themeColor="text1"/>
          <w:sz w:val="24"/>
          <w:szCs w:val="20"/>
          <w:lang w:val="ro-RO"/>
        </w:rPr>
        <w:t>operaţiuni</w:t>
      </w:r>
      <w:proofErr w:type="spellEnd"/>
      <w:r w:rsidRPr="000342BD">
        <w:rPr>
          <w:color w:val="000000" w:themeColor="text1"/>
          <w:sz w:val="24"/>
          <w:szCs w:val="20"/>
          <w:lang w:val="ro-RO"/>
        </w:rPr>
        <w:t xml:space="preserve"> de valorificare a solului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de reciclare a materialelor de </w:t>
      </w:r>
      <w:proofErr w:type="spellStart"/>
      <w:r w:rsidRPr="000342BD">
        <w:rPr>
          <w:color w:val="000000" w:themeColor="text1"/>
          <w:sz w:val="24"/>
          <w:szCs w:val="20"/>
          <w:lang w:val="ro-RO"/>
        </w:rPr>
        <w:t>construcţie</w:t>
      </w:r>
      <w:proofErr w:type="spellEnd"/>
      <w:r w:rsidRPr="000342BD">
        <w:rPr>
          <w:color w:val="000000" w:themeColor="text1"/>
          <w:sz w:val="24"/>
          <w:szCs w:val="20"/>
          <w:lang w:val="ro-RO"/>
        </w:rPr>
        <w:t xml:space="preserve"> anorganice.</w:t>
      </w:r>
    </w:p>
    <w:p w14:paraId="2ED102BC"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R6 Regenerarea acizilor sau a bazelor.</w:t>
      </w:r>
    </w:p>
    <w:p w14:paraId="2362B679"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R7 Valorificarea componenților utilizați pentru reducerea poluării.</w:t>
      </w:r>
    </w:p>
    <w:p w14:paraId="1CFF0112"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R8 Valorificarea componenților catalizatorilor.</w:t>
      </w:r>
    </w:p>
    <w:p w14:paraId="7DD8E375"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R9 </w:t>
      </w:r>
      <w:proofErr w:type="spellStart"/>
      <w:r w:rsidRPr="000342BD">
        <w:rPr>
          <w:color w:val="000000" w:themeColor="text1"/>
          <w:sz w:val="24"/>
          <w:szCs w:val="20"/>
          <w:lang w:val="ro-RO"/>
        </w:rPr>
        <w:t>Rerafinarea</w:t>
      </w:r>
      <w:proofErr w:type="spellEnd"/>
      <w:r w:rsidRPr="000342BD">
        <w:rPr>
          <w:color w:val="000000" w:themeColor="text1"/>
          <w:sz w:val="24"/>
          <w:szCs w:val="20"/>
          <w:lang w:val="ro-RO"/>
        </w:rPr>
        <w:t xml:space="preserve"> petrolului sau alte reutilizări ale petrolului.</w:t>
      </w:r>
    </w:p>
    <w:p w14:paraId="049AEA21"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lastRenderedPageBreak/>
        <w:t>R10 Tratarea terenurilor având drept rezultat beneficii pentru agricultură sau ecologie.</w:t>
      </w:r>
    </w:p>
    <w:p w14:paraId="4614B9BF"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R11 Utilizarea </w:t>
      </w:r>
      <w:proofErr w:type="spellStart"/>
      <w:r w:rsidRPr="000342BD">
        <w:rPr>
          <w:color w:val="000000" w:themeColor="text1"/>
          <w:sz w:val="24"/>
          <w:szCs w:val="20"/>
          <w:lang w:val="ro-RO"/>
        </w:rPr>
        <w:t>deşeurilor</w:t>
      </w:r>
      <w:proofErr w:type="spellEnd"/>
      <w:r w:rsidRPr="000342BD">
        <w:rPr>
          <w:color w:val="000000" w:themeColor="text1"/>
          <w:sz w:val="24"/>
          <w:szCs w:val="20"/>
          <w:lang w:val="ro-RO"/>
        </w:rPr>
        <w:t xml:space="preserve"> </w:t>
      </w:r>
      <w:proofErr w:type="spellStart"/>
      <w:r w:rsidRPr="000342BD">
        <w:rPr>
          <w:color w:val="000000" w:themeColor="text1"/>
          <w:sz w:val="24"/>
          <w:szCs w:val="20"/>
          <w:lang w:val="ro-RO"/>
        </w:rPr>
        <w:t>obţinute</w:t>
      </w:r>
      <w:proofErr w:type="spellEnd"/>
      <w:r w:rsidRPr="000342BD">
        <w:rPr>
          <w:color w:val="000000" w:themeColor="text1"/>
          <w:sz w:val="24"/>
          <w:szCs w:val="20"/>
          <w:lang w:val="ro-RO"/>
        </w:rPr>
        <w:t xml:space="preserve"> din oricare dintre </w:t>
      </w:r>
      <w:proofErr w:type="spellStart"/>
      <w:r w:rsidRPr="000342BD">
        <w:rPr>
          <w:color w:val="000000" w:themeColor="text1"/>
          <w:sz w:val="24"/>
          <w:szCs w:val="20"/>
          <w:lang w:val="ro-RO"/>
        </w:rPr>
        <w:t>operaţiunile</w:t>
      </w:r>
      <w:proofErr w:type="spellEnd"/>
      <w:r w:rsidRPr="000342BD">
        <w:rPr>
          <w:color w:val="000000" w:themeColor="text1"/>
          <w:sz w:val="24"/>
          <w:szCs w:val="20"/>
          <w:lang w:val="ro-RO"/>
        </w:rPr>
        <w:t xml:space="preserve"> enumerate de la R2 la R10.</w:t>
      </w:r>
    </w:p>
    <w:p w14:paraId="2426B259"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R12 Schimbul de </w:t>
      </w:r>
      <w:proofErr w:type="spellStart"/>
      <w:r w:rsidRPr="000342BD">
        <w:rPr>
          <w:color w:val="000000" w:themeColor="text1"/>
          <w:sz w:val="24"/>
          <w:szCs w:val="20"/>
          <w:lang w:val="ro-RO"/>
        </w:rPr>
        <w:t>deşeuri</w:t>
      </w:r>
      <w:proofErr w:type="spellEnd"/>
      <w:r w:rsidRPr="000342BD">
        <w:rPr>
          <w:color w:val="000000" w:themeColor="text1"/>
          <w:sz w:val="24"/>
          <w:szCs w:val="20"/>
          <w:lang w:val="ro-RO"/>
        </w:rPr>
        <w:t xml:space="preserve"> în vederea expunerii la oricare dintre </w:t>
      </w:r>
      <w:proofErr w:type="spellStart"/>
      <w:r w:rsidRPr="000342BD">
        <w:rPr>
          <w:color w:val="000000" w:themeColor="text1"/>
          <w:sz w:val="24"/>
          <w:szCs w:val="20"/>
          <w:lang w:val="ro-RO"/>
        </w:rPr>
        <w:t>operaţiunile</w:t>
      </w:r>
      <w:proofErr w:type="spellEnd"/>
      <w:r w:rsidRPr="000342BD">
        <w:rPr>
          <w:color w:val="000000" w:themeColor="text1"/>
          <w:sz w:val="24"/>
          <w:szCs w:val="20"/>
          <w:lang w:val="ro-RO"/>
        </w:rPr>
        <w:t xml:space="preserve"> enumerate de la R2 la R11. În cazul în care nu există niciun alt cod R corespunzător, acesta include </w:t>
      </w:r>
      <w:proofErr w:type="spellStart"/>
      <w:r w:rsidRPr="000342BD">
        <w:rPr>
          <w:color w:val="000000" w:themeColor="text1"/>
          <w:sz w:val="24"/>
          <w:szCs w:val="20"/>
          <w:lang w:val="ro-RO"/>
        </w:rPr>
        <w:t>operaţiunile</w:t>
      </w:r>
      <w:proofErr w:type="spellEnd"/>
      <w:r w:rsidRPr="000342BD">
        <w:rPr>
          <w:color w:val="000000" w:themeColor="text1"/>
          <w:sz w:val="24"/>
          <w:szCs w:val="20"/>
          <w:lang w:val="ro-RO"/>
        </w:rPr>
        <w:t xml:space="preserve"> preliminare înainte de valorificare, inclusiv preprocesarea, cum ar fi, printre altele, demontarea, sortarea, sfărâmarea, compactarea, granularea, mărunțirea uscată, </w:t>
      </w:r>
      <w:proofErr w:type="spellStart"/>
      <w:r w:rsidRPr="000342BD">
        <w:rPr>
          <w:color w:val="000000" w:themeColor="text1"/>
          <w:sz w:val="24"/>
          <w:szCs w:val="20"/>
          <w:lang w:val="ro-RO"/>
        </w:rPr>
        <w:t>condiţionarea</w:t>
      </w:r>
      <w:proofErr w:type="spellEnd"/>
      <w:r w:rsidRPr="000342BD">
        <w:rPr>
          <w:color w:val="000000" w:themeColor="text1"/>
          <w:sz w:val="24"/>
          <w:szCs w:val="20"/>
          <w:lang w:val="ro-RO"/>
        </w:rPr>
        <w:t xml:space="preserve">, reambalarea, separarea </w:t>
      </w:r>
      <w:proofErr w:type="spellStart"/>
      <w:r w:rsidRPr="000342BD">
        <w:rPr>
          <w:color w:val="000000" w:themeColor="text1"/>
          <w:sz w:val="24"/>
          <w:szCs w:val="20"/>
          <w:lang w:val="ro-RO"/>
        </w:rPr>
        <w:t>şi</w:t>
      </w:r>
      <w:proofErr w:type="spellEnd"/>
      <w:r w:rsidRPr="000342BD">
        <w:rPr>
          <w:color w:val="000000" w:themeColor="text1"/>
          <w:sz w:val="24"/>
          <w:szCs w:val="20"/>
          <w:lang w:val="ro-RO"/>
        </w:rPr>
        <w:t xml:space="preserve"> amestecarea înainte de supunerea la oricare dintre </w:t>
      </w:r>
      <w:proofErr w:type="spellStart"/>
      <w:r w:rsidRPr="000342BD">
        <w:rPr>
          <w:color w:val="000000" w:themeColor="text1"/>
          <w:sz w:val="24"/>
          <w:szCs w:val="20"/>
          <w:lang w:val="ro-RO"/>
        </w:rPr>
        <w:t>operaţiunile</w:t>
      </w:r>
      <w:proofErr w:type="spellEnd"/>
      <w:r w:rsidRPr="000342BD">
        <w:rPr>
          <w:color w:val="000000" w:themeColor="text1"/>
          <w:sz w:val="24"/>
          <w:szCs w:val="20"/>
          <w:lang w:val="ro-RO"/>
        </w:rPr>
        <w:t xml:space="preserve"> enumerate de la R2 la R11.</w:t>
      </w:r>
    </w:p>
    <w:p w14:paraId="7B94D1A0" w14:textId="77777777" w:rsidR="000342BD" w:rsidRPr="000342BD" w:rsidRDefault="000342BD" w:rsidP="000342BD">
      <w:pPr>
        <w:spacing w:after="0"/>
        <w:ind w:firstLine="567"/>
        <w:jc w:val="both"/>
        <w:rPr>
          <w:color w:val="000000" w:themeColor="text1"/>
          <w:sz w:val="24"/>
          <w:szCs w:val="20"/>
          <w:lang w:val="ro-RO"/>
        </w:rPr>
      </w:pPr>
      <w:r w:rsidRPr="000342BD">
        <w:rPr>
          <w:color w:val="000000" w:themeColor="text1"/>
          <w:sz w:val="24"/>
          <w:szCs w:val="20"/>
          <w:lang w:val="ro-RO"/>
        </w:rPr>
        <w:t xml:space="preserve">R13 Stocarea </w:t>
      </w:r>
      <w:proofErr w:type="spellStart"/>
      <w:r w:rsidRPr="000342BD">
        <w:rPr>
          <w:color w:val="000000" w:themeColor="text1"/>
          <w:sz w:val="24"/>
          <w:szCs w:val="20"/>
          <w:lang w:val="ro-RO"/>
        </w:rPr>
        <w:t>deşeurilor</w:t>
      </w:r>
      <w:proofErr w:type="spellEnd"/>
      <w:r w:rsidRPr="000342BD">
        <w:rPr>
          <w:color w:val="000000" w:themeColor="text1"/>
          <w:sz w:val="24"/>
          <w:szCs w:val="20"/>
          <w:lang w:val="ro-RO"/>
        </w:rPr>
        <w:t xml:space="preserve"> înaintea oricărei </w:t>
      </w:r>
      <w:proofErr w:type="spellStart"/>
      <w:r w:rsidRPr="000342BD">
        <w:rPr>
          <w:color w:val="000000" w:themeColor="text1"/>
          <w:sz w:val="24"/>
          <w:szCs w:val="20"/>
          <w:lang w:val="ro-RO"/>
        </w:rPr>
        <w:t>operaţiuni</w:t>
      </w:r>
      <w:proofErr w:type="spellEnd"/>
      <w:r w:rsidRPr="000342BD">
        <w:rPr>
          <w:color w:val="000000" w:themeColor="text1"/>
          <w:sz w:val="24"/>
          <w:szCs w:val="20"/>
          <w:lang w:val="ro-RO"/>
        </w:rPr>
        <w:t xml:space="preserve"> enumerate de la R2 la R12 (excluzând stocarea temporară, înaintea colectării, la situl unde a fost generat </w:t>
      </w:r>
      <w:proofErr w:type="spellStart"/>
      <w:r w:rsidRPr="000342BD">
        <w:rPr>
          <w:color w:val="000000" w:themeColor="text1"/>
          <w:sz w:val="24"/>
          <w:szCs w:val="20"/>
          <w:lang w:val="ro-RO"/>
        </w:rPr>
        <w:t>deşeul</w:t>
      </w:r>
      <w:proofErr w:type="spellEnd"/>
      <w:r w:rsidRPr="000342BD">
        <w:rPr>
          <w:color w:val="000000" w:themeColor="text1"/>
          <w:sz w:val="24"/>
          <w:szCs w:val="20"/>
          <w:lang w:val="ro-RO"/>
        </w:rPr>
        <w:t>). Stocare temporară înseamnă stocare preliminară în conformitate cu art. 2 pct. 5).</w:t>
      </w:r>
    </w:p>
    <w:p w14:paraId="4B14487E" w14:textId="77777777" w:rsidR="000342BD" w:rsidRPr="000342BD" w:rsidRDefault="000342BD" w:rsidP="000342BD">
      <w:pPr>
        <w:rPr>
          <w:lang w:val="ro-RO"/>
        </w:rPr>
      </w:pPr>
    </w:p>
    <w:sectPr w:rsidR="003A4337" w:rsidRPr="000342BD" w:rsidSect="000342BD">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2BD"/>
    <w:rsid w:val="000342BD"/>
    <w:rsid w:val="0058181B"/>
    <w:rsid w:val="005C0197"/>
    <w:rsid w:val="006D1F82"/>
    <w:rsid w:val="00B32DE8"/>
    <w:rsid w:val="00DC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493B2"/>
  <w15:chartTrackingRefBased/>
  <w15:docId w15:val="{154C1B24-7BDF-4FA9-8644-3B314DFF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2BD"/>
    <w:pPr>
      <w:spacing w:after="160" w:line="240" w:lineRule="auto"/>
    </w:pPr>
    <w:rPr>
      <w:rFonts w:ascii="Times New Roman" w:eastAsia="Times New Roman" w:hAnsi="Times New Roman" w:cs="Times New Roman"/>
      <w:kern w:val="2"/>
      <w:sz w:val="28"/>
    </w:rPr>
  </w:style>
  <w:style w:type="paragraph" w:styleId="1">
    <w:name w:val="heading 1"/>
    <w:basedOn w:val="a"/>
    <w:next w:val="a"/>
    <w:link w:val="10"/>
    <w:uiPriority w:val="9"/>
    <w:qFormat/>
    <w:rsid w:val="000342BD"/>
    <w:pPr>
      <w:keepNext/>
      <w:keepLines/>
      <w:spacing w:before="360" w:after="80" w:line="276" w:lineRule="auto"/>
      <w:jc w:val="both"/>
      <w:outlineLvl w:val="0"/>
    </w:pPr>
    <w:rPr>
      <w:rFonts w:asciiTheme="majorHAnsi" w:eastAsiaTheme="majorEastAsia" w:hAnsiTheme="majorHAnsi" w:cstheme="majorBidi"/>
      <w:color w:val="365F91" w:themeColor="accent1" w:themeShade="BF"/>
      <w:kern w:val="0"/>
      <w:sz w:val="40"/>
      <w:szCs w:val="40"/>
    </w:rPr>
  </w:style>
  <w:style w:type="paragraph" w:styleId="2">
    <w:name w:val="heading 2"/>
    <w:basedOn w:val="a"/>
    <w:next w:val="a"/>
    <w:link w:val="20"/>
    <w:uiPriority w:val="9"/>
    <w:semiHidden/>
    <w:unhideWhenUsed/>
    <w:qFormat/>
    <w:rsid w:val="000342BD"/>
    <w:pPr>
      <w:keepNext/>
      <w:keepLines/>
      <w:spacing w:before="160" w:after="80" w:line="276" w:lineRule="auto"/>
      <w:jc w:val="both"/>
      <w:outlineLvl w:val="1"/>
    </w:pPr>
    <w:rPr>
      <w:rFonts w:asciiTheme="majorHAnsi" w:eastAsiaTheme="majorEastAsia" w:hAnsiTheme="majorHAnsi" w:cstheme="majorBidi"/>
      <w:color w:val="365F91" w:themeColor="accent1" w:themeShade="BF"/>
      <w:kern w:val="0"/>
      <w:sz w:val="32"/>
      <w:szCs w:val="32"/>
    </w:rPr>
  </w:style>
  <w:style w:type="paragraph" w:styleId="3">
    <w:name w:val="heading 3"/>
    <w:basedOn w:val="a"/>
    <w:next w:val="a"/>
    <w:link w:val="30"/>
    <w:uiPriority w:val="9"/>
    <w:semiHidden/>
    <w:unhideWhenUsed/>
    <w:qFormat/>
    <w:rsid w:val="000342BD"/>
    <w:pPr>
      <w:keepNext/>
      <w:keepLines/>
      <w:spacing w:before="160" w:after="80" w:line="276" w:lineRule="auto"/>
      <w:jc w:val="both"/>
      <w:outlineLvl w:val="2"/>
    </w:pPr>
    <w:rPr>
      <w:rFonts w:asciiTheme="minorHAnsi" w:eastAsiaTheme="majorEastAsia" w:hAnsiTheme="minorHAnsi" w:cstheme="majorBidi"/>
      <w:color w:val="365F91" w:themeColor="accent1" w:themeShade="BF"/>
      <w:kern w:val="0"/>
      <w:szCs w:val="28"/>
    </w:rPr>
  </w:style>
  <w:style w:type="paragraph" w:styleId="4">
    <w:name w:val="heading 4"/>
    <w:basedOn w:val="a"/>
    <w:next w:val="a"/>
    <w:link w:val="40"/>
    <w:uiPriority w:val="9"/>
    <w:semiHidden/>
    <w:unhideWhenUsed/>
    <w:qFormat/>
    <w:rsid w:val="000342BD"/>
    <w:pPr>
      <w:keepNext/>
      <w:keepLines/>
      <w:spacing w:before="80" w:after="40" w:line="276" w:lineRule="auto"/>
      <w:jc w:val="both"/>
      <w:outlineLvl w:val="3"/>
    </w:pPr>
    <w:rPr>
      <w:rFonts w:asciiTheme="minorHAnsi" w:eastAsiaTheme="majorEastAsia" w:hAnsiTheme="minorHAnsi" w:cstheme="majorBidi"/>
      <w:i/>
      <w:iCs/>
      <w:color w:val="365F91" w:themeColor="accent1" w:themeShade="BF"/>
      <w:kern w:val="0"/>
      <w:sz w:val="24"/>
    </w:rPr>
  </w:style>
  <w:style w:type="paragraph" w:styleId="5">
    <w:name w:val="heading 5"/>
    <w:basedOn w:val="a"/>
    <w:next w:val="a"/>
    <w:link w:val="50"/>
    <w:uiPriority w:val="9"/>
    <w:semiHidden/>
    <w:unhideWhenUsed/>
    <w:qFormat/>
    <w:rsid w:val="000342BD"/>
    <w:pPr>
      <w:keepNext/>
      <w:keepLines/>
      <w:spacing w:before="80" w:after="40" w:line="276" w:lineRule="auto"/>
      <w:jc w:val="both"/>
      <w:outlineLvl w:val="4"/>
    </w:pPr>
    <w:rPr>
      <w:rFonts w:asciiTheme="minorHAnsi" w:eastAsiaTheme="majorEastAsia" w:hAnsiTheme="minorHAnsi" w:cstheme="majorBidi"/>
      <w:color w:val="365F91" w:themeColor="accent1" w:themeShade="BF"/>
      <w:kern w:val="0"/>
      <w:sz w:val="24"/>
    </w:rPr>
  </w:style>
  <w:style w:type="paragraph" w:styleId="6">
    <w:name w:val="heading 6"/>
    <w:basedOn w:val="a"/>
    <w:next w:val="a"/>
    <w:link w:val="60"/>
    <w:uiPriority w:val="9"/>
    <w:semiHidden/>
    <w:unhideWhenUsed/>
    <w:qFormat/>
    <w:rsid w:val="000342BD"/>
    <w:pPr>
      <w:keepNext/>
      <w:keepLines/>
      <w:spacing w:before="40" w:after="0" w:line="276" w:lineRule="auto"/>
      <w:jc w:val="both"/>
      <w:outlineLvl w:val="5"/>
    </w:pPr>
    <w:rPr>
      <w:rFonts w:asciiTheme="minorHAnsi" w:eastAsiaTheme="majorEastAsia" w:hAnsiTheme="minorHAnsi" w:cstheme="majorBidi"/>
      <w:i/>
      <w:iCs/>
      <w:color w:val="595959" w:themeColor="text1" w:themeTint="A6"/>
      <w:kern w:val="0"/>
      <w:sz w:val="24"/>
    </w:rPr>
  </w:style>
  <w:style w:type="paragraph" w:styleId="7">
    <w:name w:val="heading 7"/>
    <w:basedOn w:val="a"/>
    <w:next w:val="a"/>
    <w:link w:val="70"/>
    <w:uiPriority w:val="9"/>
    <w:semiHidden/>
    <w:unhideWhenUsed/>
    <w:qFormat/>
    <w:rsid w:val="000342BD"/>
    <w:pPr>
      <w:keepNext/>
      <w:keepLines/>
      <w:spacing w:before="40" w:after="0" w:line="276" w:lineRule="auto"/>
      <w:jc w:val="both"/>
      <w:outlineLvl w:val="6"/>
    </w:pPr>
    <w:rPr>
      <w:rFonts w:asciiTheme="minorHAnsi" w:eastAsiaTheme="majorEastAsia" w:hAnsiTheme="minorHAnsi" w:cstheme="majorBidi"/>
      <w:color w:val="595959" w:themeColor="text1" w:themeTint="A6"/>
      <w:kern w:val="0"/>
      <w:sz w:val="24"/>
    </w:rPr>
  </w:style>
  <w:style w:type="paragraph" w:styleId="8">
    <w:name w:val="heading 8"/>
    <w:basedOn w:val="a"/>
    <w:next w:val="a"/>
    <w:link w:val="80"/>
    <w:uiPriority w:val="9"/>
    <w:semiHidden/>
    <w:unhideWhenUsed/>
    <w:qFormat/>
    <w:rsid w:val="000342BD"/>
    <w:pPr>
      <w:keepNext/>
      <w:keepLines/>
      <w:spacing w:after="0" w:line="276" w:lineRule="auto"/>
      <w:jc w:val="both"/>
      <w:outlineLvl w:val="7"/>
    </w:pPr>
    <w:rPr>
      <w:rFonts w:asciiTheme="minorHAnsi" w:eastAsiaTheme="majorEastAsia" w:hAnsiTheme="minorHAnsi" w:cstheme="majorBidi"/>
      <w:i/>
      <w:iCs/>
      <w:color w:val="272727" w:themeColor="text1" w:themeTint="D8"/>
      <w:kern w:val="0"/>
      <w:sz w:val="24"/>
    </w:rPr>
  </w:style>
  <w:style w:type="paragraph" w:styleId="9">
    <w:name w:val="heading 9"/>
    <w:basedOn w:val="a"/>
    <w:next w:val="a"/>
    <w:link w:val="90"/>
    <w:uiPriority w:val="9"/>
    <w:semiHidden/>
    <w:unhideWhenUsed/>
    <w:qFormat/>
    <w:rsid w:val="000342BD"/>
    <w:pPr>
      <w:keepNext/>
      <w:keepLines/>
      <w:spacing w:after="0" w:line="276" w:lineRule="auto"/>
      <w:jc w:val="both"/>
      <w:outlineLvl w:val="8"/>
    </w:pPr>
    <w:rPr>
      <w:rFonts w:asciiTheme="minorHAnsi" w:eastAsiaTheme="majorEastAsia" w:hAnsiTheme="minorHAnsi" w:cstheme="majorBidi"/>
      <w:color w:val="272727" w:themeColor="text1" w:themeTint="D8"/>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42BD"/>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0342BD"/>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0342BD"/>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0342BD"/>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0342BD"/>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0342BD"/>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0342BD"/>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0342BD"/>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0342BD"/>
    <w:rPr>
      <w:rFonts w:eastAsiaTheme="majorEastAsia" w:cstheme="majorBidi"/>
      <w:color w:val="272727" w:themeColor="text1" w:themeTint="D8"/>
      <w:sz w:val="24"/>
    </w:rPr>
  </w:style>
  <w:style w:type="paragraph" w:styleId="a3">
    <w:name w:val="Title"/>
    <w:basedOn w:val="a"/>
    <w:next w:val="a"/>
    <w:link w:val="a4"/>
    <w:uiPriority w:val="10"/>
    <w:qFormat/>
    <w:rsid w:val="000342BD"/>
    <w:pPr>
      <w:spacing w:after="80"/>
      <w:contextualSpacing/>
      <w:jc w:val="both"/>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342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42BD"/>
    <w:pPr>
      <w:numPr>
        <w:ilvl w:val="1"/>
      </w:numPr>
      <w:spacing w:line="276" w:lineRule="auto"/>
      <w:jc w:val="both"/>
    </w:pPr>
    <w:rPr>
      <w:rFonts w:asciiTheme="minorHAnsi" w:eastAsiaTheme="majorEastAsia" w:hAnsiTheme="minorHAnsi" w:cstheme="majorBidi"/>
      <w:color w:val="595959" w:themeColor="text1" w:themeTint="A6"/>
      <w:spacing w:val="15"/>
      <w:kern w:val="0"/>
      <w:szCs w:val="28"/>
    </w:rPr>
  </w:style>
  <w:style w:type="character" w:customStyle="1" w:styleId="a6">
    <w:name w:val="Подзаголовок Знак"/>
    <w:basedOn w:val="a0"/>
    <w:link w:val="a5"/>
    <w:uiPriority w:val="11"/>
    <w:rsid w:val="000342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342BD"/>
    <w:pPr>
      <w:spacing w:before="160" w:line="276" w:lineRule="auto"/>
      <w:jc w:val="center"/>
    </w:pPr>
    <w:rPr>
      <w:rFonts w:eastAsiaTheme="minorHAnsi" w:cstheme="minorBidi"/>
      <w:i/>
      <w:iCs/>
      <w:color w:val="404040" w:themeColor="text1" w:themeTint="BF"/>
      <w:kern w:val="0"/>
      <w:sz w:val="24"/>
    </w:rPr>
  </w:style>
  <w:style w:type="character" w:customStyle="1" w:styleId="22">
    <w:name w:val="Цитата 2 Знак"/>
    <w:basedOn w:val="a0"/>
    <w:link w:val="21"/>
    <w:uiPriority w:val="29"/>
    <w:rsid w:val="000342BD"/>
    <w:rPr>
      <w:rFonts w:ascii="Times New Roman" w:hAnsi="Times New Roman"/>
      <w:i/>
      <w:iCs/>
      <w:color w:val="404040" w:themeColor="text1" w:themeTint="BF"/>
      <w:sz w:val="24"/>
    </w:rPr>
  </w:style>
  <w:style w:type="paragraph" w:styleId="a7">
    <w:name w:val="List Paragraph"/>
    <w:basedOn w:val="a"/>
    <w:uiPriority w:val="34"/>
    <w:qFormat/>
    <w:rsid w:val="000342BD"/>
    <w:pPr>
      <w:spacing w:after="200" w:line="276" w:lineRule="auto"/>
      <w:ind w:left="720"/>
      <w:contextualSpacing/>
      <w:jc w:val="both"/>
    </w:pPr>
    <w:rPr>
      <w:rFonts w:eastAsiaTheme="minorHAnsi" w:cstheme="minorBidi"/>
      <w:kern w:val="0"/>
      <w:sz w:val="24"/>
    </w:rPr>
  </w:style>
  <w:style w:type="character" w:styleId="a8">
    <w:name w:val="Intense Emphasis"/>
    <w:basedOn w:val="a0"/>
    <w:uiPriority w:val="21"/>
    <w:qFormat/>
    <w:rsid w:val="000342BD"/>
    <w:rPr>
      <w:i/>
      <w:iCs/>
      <w:color w:val="365F91" w:themeColor="accent1" w:themeShade="BF"/>
    </w:rPr>
  </w:style>
  <w:style w:type="paragraph" w:styleId="a9">
    <w:name w:val="Intense Quote"/>
    <w:basedOn w:val="a"/>
    <w:next w:val="a"/>
    <w:link w:val="aa"/>
    <w:uiPriority w:val="30"/>
    <w:qFormat/>
    <w:rsid w:val="000342BD"/>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eastAsiaTheme="minorHAnsi" w:cstheme="minorBidi"/>
      <w:i/>
      <w:iCs/>
      <w:color w:val="365F91" w:themeColor="accent1" w:themeShade="BF"/>
      <w:kern w:val="0"/>
      <w:sz w:val="24"/>
    </w:rPr>
  </w:style>
  <w:style w:type="character" w:customStyle="1" w:styleId="aa">
    <w:name w:val="Выделенная цитата Знак"/>
    <w:basedOn w:val="a0"/>
    <w:link w:val="a9"/>
    <w:uiPriority w:val="30"/>
    <w:rsid w:val="000342BD"/>
    <w:rPr>
      <w:rFonts w:ascii="Times New Roman" w:hAnsi="Times New Roman"/>
      <w:i/>
      <w:iCs/>
      <w:color w:val="365F91" w:themeColor="accent1" w:themeShade="BF"/>
      <w:sz w:val="24"/>
    </w:rPr>
  </w:style>
  <w:style w:type="character" w:styleId="ab">
    <w:name w:val="Intense Reference"/>
    <w:basedOn w:val="a0"/>
    <w:uiPriority w:val="32"/>
    <w:qFormat/>
    <w:rsid w:val="000342B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646</Words>
  <Characters>3683</Characters>
  <Application>Microsoft Office Word</Application>
  <DocSecurity>0</DocSecurity>
  <Lines>30</Lines>
  <Paragraphs>8</Paragraphs>
  <ScaleCrop>false</ScaleCrop>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1</cp:revision>
  <dcterms:created xsi:type="dcterms:W3CDTF">2024-06-20T07:39:00Z</dcterms:created>
  <dcterms:modified xsi:type="dcterms:W3CDTF">2024-06-20T07:50:00Z</dcterms:modified>
</cp:coreProperties>
</file>